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3EA" w:rsidRDefault="009313EA" w:rsidP="009F1164">
      <w:pPr>
        <w:jc w:val="center"/>
        <w:rPr>
          <w:rFonts w:ascii="黑体" w:eastAsia="黑体"/>
          <w:b/>
          <w:kern w:val="0"/>
          <w:sz w:val="30"/>
          <w:szCs w:val="30"/>
        </w:rPr>
      </w:pPr>
      <w:bookmarkStart w:id="0" w:name="_GoBack"/>
      <w:bookmarkEnd w:id="0"/>
      <w:r w:rsidRPr="00750B07">
        <w:rPr>
          <w:rFonts w:ascii="黑体" w:eastAsia="黑体" w:hint="eastAsia"/>
          <w:b/>
          <w:kern w:val="0"/>
          <w:sz w:val="30"/>
          <w:szCs w:val="30"/>
        </w:rPr>
        <w:t>《</w:t>
      </w:r>
      <w:r w:rsidRPr="009313EA">
        <w:rPr>
          <w:rFonts w:ascii="黑体" w:eastAsia="黑体" w:hAnsi="黑体" w:hint="eastAsia"/>
          <w:b/>
          <w:sz w:val="30"/>
          <w:szCs w:val="30"/>
        </w:rPr>
        <w:t>价值评估与财务报表分析</w:t>
      </w:r>
      <w:r w:rsidRPr="00750B07">
        <w:rPr>
          <w:rFonts w:ascii="黑体" w:eastAsia="黑体" w:hint="eastAsia"/>
          <w:b/>
          <w:kern w:val="0"/>
          <w:sz w:val="30"/>
          <w:szCs w:val="30"/>
        </w:rPr>
        <w:t>》课程中英文简介</w:t>
      </w:r>
    </w:p>
    <w:p w:rsidR="009F1164" w:rsidRDefault="009F1164" w:rsidP="009F1164">
      <w:pPr>
        <w:adjustRightInd w:val="0"/>
        <w:snapToGrid w:val="0"/>
        <w:jc w:val="center"/>
        <w:rPr>
          <w:rFonts w:ascii="Times New Roman" w:hAnsi="Times New Roman"/>
          <w:color w:val="2E3033"/>
          <w:sz w:val="28"/>
          <w:szCs w:val="28"/>
        </w:rPr>
      </w:pPr>
    </w:p>
    <w:p w:rsidR="009313EA" w:rsidRDefault="00046F88" w:rsidP="009F1164">
      <w:pPr>
        <w:adjustRightInd w:val="0"/>
        <w:snapToGrid w:val="0"/>
        <w:jc w:val="center"/>
        <w:rPr>
          <w:rFonts w:ascii="Times New Roman" w:hAnsi="Times New Roman"/>
          <w:color w:val="2E3033"/>
          <w:sz w:val="28"/>
          <w:szCs w:val="28"/>
        </w:rPr>
      </w:pPr>
      <w:r w:rsidRPr="008F3182">
        <w:rPr>
          <w:rFonts w:ascii="Times New Roman" w:hAnsi="Times New Roman"/>
          <w:color w:val="2E3033"/>
          <w:sz w:val="28"/>
          <w:szCs w:val="28"/>
        </w:rPr>
        <w:t>Valuation and Financial Statement Analysis</w:t>
      </w:r>
    </w:p>
    <w:p w:rsidR="008F3182" w:rsidRPr="008F3182" w:rsidRDefault="008F3182" w:rsidP="009F1164">
      <w:pPr>
        <w:adjustRightInd w:val="0"/>
        <w:snapToGrid w:val="0"/>
        <w:jc w:val="center"/>
        <w:rPr>
          <w:rFonts w:ascii="Times New Roman" w:hAnsi="Times New Roman"/>
          <w:sz w:val="28"/>
          <w:szCs w:val="28"/>
        </w:rPr>
      </w:pPr>
    </w:p>
    <w:p w:rsidR="009313EA" w:rsidRPr="008F3182" w:rsidRDefault="009313EA" w:rsidP="009313EA">
      <w:pPr>
        <w:tabs>
          <w:tab w:val="left" w:pos="4111"/>
        </w:tabs>
        <w:adjustRightInd w:val="0"/>
        <w:snapToGrid w:val="0"/>
        <w:spacing w:line="360" w:lineRule="auto"/>
        <w:rPr>
          <w:rFonts w:ascii="Times New Roman" w:hAnsi="Times New Roman"/>
          <w:szCs w:val="21"/>
        </w:rPr>
      </w:pPr>
      <w:r w:rsidRPr="008F3182">
        <w:rPr>
          <w:rFonts w:ascii="黑体" w:eastAsia="黑体" w:hAnsi="黑体" w:hint="eastAsia"/>
          <w:szCs w:val="21"/>
        </w:rPr>
        <w:t>课程代码：</w:t>
      </w:r>
      <w:bookmarkStart w:id="1" w:name="OLE_LINK1"/>
      <w:bookmarkStart w:id="2" w:name="OLE_LINK2"/>
      <w:r w:rsidRPr="008F3182">
        <w:rPr>
          <w:rFonts w:ascii="黑体" w:eastAsia="黑体" w:hAnsi="黑体"/>
          <w:szCs w:val="21"/>
        </w:rPr>
        <w:t>093212B</w:t>
      </w:r>
      <w:bookmarkEnd w:id="1"/>
      <w:bookmarkEnd w:id="2"/>
      <w:r>
        <w:rPr>
          <w:rFonts w:ascii="Times New Roman" w:hAnsi="Times New Roman"/>
          <w:szCs w:val="21"/>
        </w:rPr>
        <w:tab/>
      </w:r>
      <w:r w:rsidRPr="008F3182">
        <w:rPr>
          <w:rFonts w:ascii="Times New Roman" w:eastAsia="黑体" w:hAnsi="Times New Roman"/>
          <w:b/>
          <w:szCs w:val="21"/>
        </w:rPr>
        <w:t>Course Code</w:t>
      </w:r>
      <w:r w:rsidRPr="008F3182">
        <w:rPr>
          <w:rFonts w:ascii="Times New Roman" w:eastAsia="黑体" w:hAnsi="Times New Roman"/>
          <w:b/>
          <w:szCs w:val="21"/>
        </w:rPr>
        <w:t>：</w:t>
      </w:r>
      <w:r w:rsidR="008C3DFD" w:rsidRPr="008F3182">
        <w:rPr>
          <w:rFonts w:ascii="Times New Roman" w:hAnsi="Times New Roman"/>
          <w:b/>
          <w:szCs w:val="21"/>
        </w:rPr>
        <w:t>093212B</w:t>
      </w:r>
    </w:p>
    <w:p w:rsidR="009313EA" w:rsidRPr="008F3182" w:rsidRDefault="009313EA" w:rsidP="008F3182">
      <w:pPr>
        <w:tabs>
          <w:tab w:val="left" w:pos="4111"/>
        </w:tabs>
        <w:adjustRightInd w:val="0"/>
        <w:snapToGrid w:val="0"/>
        <w:spacing w:line="360" w:lineRule="auto"/>
        <w:ind w:left="5880" w:hangingChars="2800" w:hanging="5880"/>
        <w:rPr>
          <w:rFonts w:ascii="Times New Roman" w:hAnsi="Times New Roman"/>
          <w:szCs w:val="21"/>
        </w:rPr>
      </w:pPr>
      <w:r w:rsidRPr="008F3182">
        <w:rPr>
          <w:rFonts w:ascii="Times New Roman" w:eastAsia="黑体" w:hAnsi="宋体" w:hint="eastAsia"/>
          <w:szCs w:val="21"/>
        </w:rPr>
        <w:t>课程名称：</w:t>
      </w:r>
      <w:r w:rsidRPr="008F3182">
        <w:rPr>
          <w:rFonts w:ascii="黑体" w:eastAsia="黑体" w:hAnsi="黑体" w:hint="eastAsia"/>
          <w:szCs w:val="21"/>
        </w:rPr>
        <w:t>价值评估与财务报表分析</w:t>
      </w:r>
      <w:r>
        <w:rPr>
          <w:rFonts w:ascii="Times New Roman" w:hAnsi="Times New Roman"/>
          <w:szCs w:val="21"/>
        </w:rPr>
        <w:tab/>
      </w:r>
      <w:r>
        <w:rPr>
          <w:rFonts w:ascii="Times New Roman" w:eastAsia="黑体" w:hAnsi="Times New Roman"/>
          <w:b/>
          <w:szCs w:val="21"/>
        </w:rPr>
        <w:t>Course Name</w:t>
      </w:r>
      <w:r>
        <w:rPr>
          <w:rFonts w:ascii="Times New Roman" w:eastAsia="黑体" w:hAnsi="Times New Roman" w:hint="eastAsia"/>
          <w:b/>
          <w:szCs w:val="21"/>
        </w:rPr>
        <w:t>：</w:t>
      </w:r>
      <w:r w:rsidR="008C3DFD" w:rsidRPr="008F3182">
        <w:rPr>
          <w:rFonts w:ascii="Times New Roman" w:hAnsi="Times New Roman"/>
          <w:color w:val="2E3033"/>
          <w:szCs w:val="21"/>
        </w:rPr>
        <w:t>Valuation and Financial</w:t>
      </w:r>
      <w:r w:rsidR="008C3DFD" w:rsidRPr="008F3182">
        <w:rPr>
          <w:rFonts w:ascii="Times New Roman" w:hAnsi="Times New Roman"/>
          <w:color w:val="2E3033"/>
          <w:szCs w:val="21"/>
          <w:shd w:val="pct15" w:color="auto" w:fill="FFFFFF"/>
        </w:rPr>
        <w:t xml:space="preserve"> </w:t>
      </w:r>
      <w:r w:rsidR="008C3DFD" w:rsidRPr="008F3182">
        <w:rPr>
          <w:rFonts w:ascii="Times New Roman" w:hAnsi="Times New Roman"/>
          <w:color w:val="2E3033"/>
          <w:szCs w:val="21"/>
        </w:rPr>
        <w:t>Statement Analysis</w:t>
      </w:r>
    </w:p>
    <w:p w:rsidR="009313EA" w:rsidRDefault="009313EA" w:rsidP="009313EA">
      <w:pPr>
        <w:tabs>
          <w:tab w:val="left" w:pos="4111"/>
        </w:tabs>
        <w:adjustRightInd w:val="0"/>
        <w:snapToGrid w:val="0"/>
        <w:spacing w:line="360" w:lineRule="auto"/>
        <w:rPr>
          <w:rFonts w:ascii="Times New Roman" w:hAnsi="Times New Roman"/>
          <w:szCs w:val="21"/>
        </w:rPr>
      </w:pPr>
      <w:r w:rsidRPr="00373E95">
        <w:rPr>
          <w:rFonts w:ascii="黑体" w:eastAsia="黑体" w:hint="eastAsia"/>
        </w:rPr>
        <w:t>学    时：32</w:t>
      </w:r>
      <w:r>
        <w:rPr>
          <w:rFonts w:ascii="Times New Roman" w:hAnsi="Times New Roman"/>
          <w:szCs w:val="21"/>
        </w:rPr>
        <w:tab/>
      </w:r>
      <w:r>
        <w:rPr>
          <w:rFonts w:ascii="Times New Roman" w:eastAsia="黑体" w:hAnsi="Times New Roman"/>
          <w:b/>
          <w:szCs w:val="21"/>
        </w:rPr>
        <w:t>Periods</w:t>
      </w:r>
      <w:r>
        <w:rPr>
          <w:rFonts w:ascii="Times New Roman" w:eastAsia="黑体" w:hAnsi="Times New Roman" w:hint="eastAsia"/>
          <w:b/>
          <w:szCs w:val="21"/>
        </w:rPr>
        <w:t>：</w:t>
      </w:r>
      <w:r>
        <w:rPr>
          <w:rFonts w:ascii="Times New Roman" w:eastAsia="黑体" w:hAnsi="Times New Roman" w:hint="eastAsia"/>
          <w:b/>
          <w:szCs w:val="21"/>
        </w:rPr>
        <w:t>32</w:t>
      </w:r>
    </w:p>
    <w:p w:rsidR="009313EA" w:rsidRDefault="009313EA" w:rsidP="009313EA">
      <w:pPr>
        <w:tabs>
          <w:tab w:val="left" w:pos="4111"/>
        </w:tabs>
        <w:adjustRightInd w:val="0"/>
        <w:snapToGrid w:val="0"/>
        <w:rPr>
          <w:rFonts w:ascii="Times New Roman" w:hAnsi="Times New Roman"/>
          <w:szCs w:val="21"/>
        </w:rPr>
      </w:pPr>
      <w:r w:rsidRPr="00373E95">
        <w:rPr>
          <w:rFonts w:ascii="黑体" w:eastAsia="黑体" w:hint="eastAsia"/>
        </w:rPr>
        <w:t>学    分：2</w:t>
      </w:r>
      <w:r>
        <w:rPr>
          <w:rFonts w:ascii="Times New Roman" w:hAnsi="Times New Roman"/>
          <w:szCs w:val="21"/>
        </w:rPr>
        <w:tab/>
      </w:r>
      <w:r>
        <w:rPr>
          <w:rFonts w:ascii="Times New Roman" w:eastAsia="黑体" w:hAnsi="Times New Roman"/>
          <w:b/>
          <w:szCs w:val="21"/>
        </w:rPr>
        <w:t>Credits</w:t>
      </w:r>
      <w:r>
        <w:rPr>
          <w:rFonts w:ascii="Times New Roman" w:eastAsia="黑体" w:hAnsi="Times New Roman" w:hint="eastAsia"/>
          <w:b/>
          <w:szCs w:val="21"/>
        </w:rPr>
        <w:t>：</w:t>
      </w:r>
      <w:r>
        <w:rPr>
          <w:rFonts w:ascii="Times New Roman" w:eastAsia="黑体" w:hAnsi="Times New Roman" w:hint="eastAsia"/>
          <w:b/>
          <w:szCs w:val="21"/>
        </w:rPr>
        <w:t>2</w:t>
      </w:r>
    </w:p>
    <w:p w:rsidR="009313EA" w:rsidRPr="008F3182" w:rsidRDefault="009313EA" w:rsidP="009313EA">
      <w:pPr>
        <w:tabs>
          <w:tab w:val="left" w:pos="4111"/>
        </w:tabs>
        <w:spacing w:line="360" w:lineRule="auto"/>
        <w:rPr>
          <w:rFonts w:ascii="Times New Roman" w:eastAsia="黑体" w:hAnsi="Times New Roman"/>
          <w:szCs w:val="21"/>
        </w:rPr>
      </w:pPr>
      <w:r w:rsidRPr="00373E95">
        <w:rPr>
          <w:rFonts w:ascii="黑体" w:eastAsia="黑体" w:hint="eastAsia"/>
        </w:rPr>
        <w:t>考核方式：考查</w:t>
      </w:r>
      <w:r>
        <w:rPr>
          <w:rFonts w:ascii="Times New Roman" w:hAnsi="Times New Roman"/>
          <w:szCs w:val="21"/>
        </w:rPr>
        <w:tab/>
      </w:r>
      <w:r w:rsidRPr="00373E95">
        <w:rPr>
          <w:rFonts w:ascii="Times New Roman" w:eastAsia="黑体" w:hAnsi="Times New Roman"/>
          <w:b/>
          <w:szCs w:val="21"/>
        </w:rPr>
        <w:t>Assessment</w:t>
      </w:r>
      <w:r w:rsidRPr="00373E95">
        <w:rPr>
          <w:rFonts w:ascii="Times New Roman" w:eastAsia="黑体" w:hAnsi="Times New Roman" w:hint="eastAsia"/>
          <w:b/>
          <w:szCs w:val="21"/>
        </w:rPr>
        <w:t>：</w:t>
      </w:r>
      <w:proofErr w:type="gramStart"/>
      <w:r w:rsidRPr="008F3182">
        <w:rPr>
          <w:rFonts w:ascii="Times New Roman" w:eastAsia="黑体" w:hAnsi="Times New Roman"/>
          <w:szCs w:val="21"/>
        </w:rPr>
        <w:t>inspection</w:t>
      </w:r>
      <w:proofErr w:type="gramEnd"/>
    </w:p>
    <w:p w:rsidR="009313EA" w:rsidRPr="008F3182" w:rsidRDefault="009313EA" w:rsidP="008F3182">
      <w:pPr>
        <w:tabs>
          <w:tab w:val="left" w:pos="4111"/>
        </w:tabs>
        <w:adjustRightInd w:val="0"/>
        <w:snapToGrid w:val="0"/>
        <w:spacing w:line="360" w:lineRule="auto"/>
        <w:ind w:left="5250" w:hangingChars="2500" w:hanging="5250"/>
        <w:jc w:val="left"/>
        <w:rPr>
          <w:rFonts w:ascii="Times New Roman" w:hAnsi="Times New Roman"/>
          <w:szCs w:val="21"/>
        </w:rPr>
      </w:pPr>
      <w:r w:rsidRPr="008F3182">
        <w:rPr>
          <w:rFonts w:ascii="黑体" w:eastAsia="黑体" w:hint="eastAsia"/>
        </w:rPr>
        <w:t>先修课程：资产评估</w:t>
      </w:r>
      <w:r w:rsidR="008C3DFD" w:rsidRPr="008F3182">
        <w:rPr>
          <w:rFonts w:ascii="黑体" w:eastAsia="黑体" w:hint="eastAsia"/>
        </w:rPr>
        <w:t xml:space="preserve"> </w:t>
      </w:r>
      <w:r w:rsidRPr="008F3182">
        <w:rPr>
          <w:rFonts w:ascii="黑体" w:eastAsia="黑体" w:hint="eastAsia"/>
        </w:rPr>
        <w:t>会计学 财务管理学</w:t>
      </w:r>
      <w:r>
        <w:rPr>
          <w:rFonts w:ascii="Times New Roman" w:hAnsi="Times New Roman"/>
          <w:szCs w:val="21"/>
        </w:rPr>
        <w:tab/>
      </w:r>
      <w:r>
        <w:rPr>
          <w:rFonts w:ascii="Times New Roman" w:eastAsia="黑体" w:hAnsi="Times New Roman"/>
          <w:b/>
          <w:szCs w:val="21"/>
        </w:rPr>
        <w:t>Preparatory Courses</w:t>
      </w:r>
      <w:r>
        <w:rPr>
          <w:rFonts w:ascii="Times New Roman" w:eastAsia="黑体" w:hAnsi="Times New Roman" w:hint="eastAsia"/>
          <w:b/>
          <w:szCs w:val="21"/>
        </w:rPr>
        <w:t>：</w:t>
      </w:r>
      <w:r w:rsidRPr="008F3182">
        <w:rPr>
          <w:rFonts w:ascii="Times New Roman" w:hAnsi="Times New Roman"/>
          <w:kern w:val="0"/>
          <w:position w:val="2"/>
          <w:szCs w:val="21"/>
        </w:rPr>
        <w:t>Assets Valuation</w:t>
      </w:r>
      <w:r w:rsidR="008C3DFD" w:rsidRPr="008F3182">
        <w:rPr>
          <w:rFonts w:ascii="Times New Roman" w:hAnsi="Times New Roman"/>
          <w:kern w:val="0"/>
          <w:position w:val="2"/>
          <w:szCs w:val="21"/>
        </w:rPr>
        <w:t xml:space="preserve"> A</w:t>
      </w:r>
      <w:r w:rsidR="008C3DFD" w:rsidRPr="008F3182">
        <w:rPr>
          <w:rFonts w:ascii="Times New Roman" w:hAnsi="Times New Roman"/>
          <w:color w:val="2E3033"/>
          <w:szCs w:val="21"/>
        </w:rPr>
        <w:t>counting   Financial Management</w:t>
      </w:r>
    </w:p>
    <w:p w:rsidR="009313EA" w:rsidRPr="00BB1ECD" w:rsidRDefault="009313EA" w:rsidP="009F1164">
      <w:pPr>
        <w:spacing w:line="360" w:lineRule="auto"/>
        <w:ind w:firstLineChars="200" w:firstLine="480"/>
        <w:rPr>
          <w:rFonts w:ascii="宋体" w:hAnsi="宋体"/>
          <w:szCs w:val="21"/>
        </w:rPr>
      </w:pPr>
      <w:r w:rsidRPr="00475AB1">
        <w:rPr>
          <w:rFonts w:ascii="宋体" w:hAnsi="宋体" w:hint="eastAsia"/>
          <w:color w:val="000000"/>
          <w:sz w:val="24"/>
          <w:szCs w:val="24"/>
        </w:rPr>
        <w:t>《</w:t>
      </w:r>
      <w:r w:rsidR="00475AB1" w:rsidRPr="00475AB1">
        <w:rPr>
          <w:rFonts w:ascii="宋体" w:hAnsi="宋体" w:hint="eastAsia"/>
          <w:sz w:val="24"/>
          <w:szCs w:val="24"/>
        </w:rPr>
        <w:t>价值评估与财务报表分析</w:t>
      </w:r>
      <w:r w:rsidRPr="00475AB1">
        <w:rPr>
          <w:rFonts w:ascii="宋体" w:hAnsi="宋体" w:hint="eastAsia"/>
          <w:color w:val="000000"/>
          <w:sz w:val="24"/>
          <w:szCs w:val="24"/>
        </w:rPr>
        <w:t>》</w:t>
      </w:r>
      <w:r w:rsidRPr="00475AB1">
        <w:rPr>
          <w:rFonts w:ascii="宋体" w:hAnsi="宋体" w:hint="eastAsia"/>
          <w:sz w:val="24"/>
          <w:szCs w:val="24"/>
        </w:rPr>
        <w:t>程是为我校资产评</w:t>
      </w:r>
      <w:r w:rsidRPr="00BB1ECD">
        <w:rPr>
          <w:rFonts w:ascii="宋体" w:hAnsi="宋体" w:hint="eastAsia"/>
          <w:szCs w:val="21"/>
        </w:rPr>
        <w:t>估专业开设的一门专业选修课程，通过对本课程学习使学生全面了解</w:t>
      </w:r>
      <w:r w:rsidR="00475AB1">
        <w:rPr>
          <w:rFonts w:ascii="宋体" w:hAnsi="宋体" w:hint="eastAsia"/>
          <w:szCs w:val="21"/>
        </w:rPr>
        <w:t>基于价值评估的财务报表分析</w:t>
      </w:r>
      <w:r w:rsidRPr="00BB1ECD">
        <w:rPr>
          <w:rFonts w:ascii="宋体" w:hAnsi="宋体" w:hint="eastAsia"/>
          <w:szCs w:val="21"/>
        </w:rPr>
        <w:t>的</w:t>
      </w:r>
      <w:r w:rsidR="00475AB1">
        <w:rPr>
          <w:rFonts w:ascii="宋体" w:hAnsi="宋体" w:hint="eastAsia"/>
          <w:szCs w:val="21"/>
        </w:rPr>
        <w:t>基本理论、基本要求、基本内容和基本方法</w:t>
      </w:r>
      <w:r w:rsidRPr="00BB1ECD">
        <w:rPr>
          <w:rFonts w:ascii="宋体" w:hAnsi="宋体" w:hint="eastAsia"/>
          <w:szCs w:val="21"/>
        </w:rPr>
        <w:t>，探索</w:t>
      </w:r>
      <w:r w:rsidR="00475AB1">
        <w:rPr>
          <w:rFonts w:ascii="宋体" w:hAnsi="宋体" w:hint="eastAsia"/>
          <w:szCs w:val="21"/>
        </w:rPr>
        <w:t>基于价值评估的财务报表分析的</w:t>
      </w:r>
      <w:r w:rsidRPr="00BB1ECD">
        <w:rPr>
          <w:rFonts w:ascii="宋体" w:hAnsi="宋体" w:hint="eastAsia"/>
          <w:szCs w:val="21"/>
        </w:rPr>
        <w:t>理论与实践问题。教学中全面设置了</w:t>
      </w:r>
      <w:r w:rsidR="00475AB1">
        <w:rPr>
          <w:rFonts w:ascii="宋体" w:hAnsi="宋体" w:hint="eastAsia"/>
          <w:szCs w:val="21"/>
        </w:rPr>
        <w:t>基于价值评估的财务报表分析</w:t>
      </w:r>
      <w:r w:rsidRPr="00BB1ECD">
        <w:rPr>
          <w:rFonts w:hint="eastAsia"/>
          <w:szCs w:val="21"/>
        </w:rPr>
        <w:t>理论、</w:t>
      </w:r>
      <w:r w:rsidRPr="00BB1ECD">
        <w:rPr>
          <w:rFonts w:ascii="宋体" w:hAnsi="宋体" w:hint="eastAsia"/>
          <w:szCs w:val="21"/>
        </w:rPr>
        <w:t>基本原理和基本分析方法等内容，通过对本课程的学习，为学生今后的进一步学习和今后工作实践奠定良好的专业知识基础。</w:t>
      </w:r>
    </w:p>
    <w:p w:rsidR="009313EA" w:rsidRPr="00BB1ECD" w:rsidRDefault="006058F0" w:rsidP="00475AB1">
      <w:pPr>
        <w:spacing w:line="360" w:lineRule="auto"/>
        <w:ind w:firstLineChars="200" w:firstLine="480"/>
        <w:rPr>
          <w:rFonts w:ascii="宋体" w:hAnsi="宋体"/>
          <w:szCs w:val="21"/>
        </w:rPr>
      </w:pPr>
      <w:r>
        <w:rPr>
          <w:rFonts w:ascii="宋体" w:hAnsi="宋体" w:hint="eastAsia"/>
          <w:color w:val="000000"/>
          <w:sz w:val="24"/>
          <w:szCs w:val="24"/>
        </w:rPr>
        <w:t>该</w:t>
      </w:r>
      <w:r w:rsidR="009313EA" w:rsidRPr="00475AB1">
        <w:rPr>
          <w:rFonts w:ascii="宋体" w:hAnsi="宋体" w:hint="eastAsia"/>
          <w:sz w:val="24"/>
          <w:szCs w:val="24"/>
        </w:rPr>
        <w:t>课</w:t>
      </w:r>
      <w:r w:rsidR="009313EA" w:rsidRPr="00BB1ECD">
        <w:rPr>
          <w:rFonts w:ascii="宋体" w:hAnsi="宋体" w:hint="eastAsia"/>
          <w:szCs w:val="21"/>
        </w:rPr>
        <w:t>程是为培养从事评估机构工作的专业人才而设置的一门专业课。重点阐述了</w:t>
      </w:r>
      <w:r w:rsidR="00475AB1" w:rsidRPr="008A6FF9">
        <w:rPr>
          <w:rFonts w:ascii="宋体" w:hAnsi="宋体" w:hint="eastAsia"/>
          <w:sz w:val="24"/>
          <w:szCs w:val="24"/>
        </w:rPr>
        <w:t>价值评估与财务报表分析的内在联系，价值评估对报表异常性分析、报表要素调整分析、报表预测分析、财务能力</w:t>
      </w:r>
      <w:r w:rsidR="00475AB1">
        <w:rPr>
          <w:rFonts w:ascii="宋体" w:hAnsi="宋体" w:hint="eastAsia"/>
          <w:sz w:val="24"/>
          <w:szCs w:val="24"/>
        </w:rPr>
        <w:t>分析</w:t>
      </w:r>
      <w:r w:rsidR="00475AB1" w:rsidRPr="008A6FF9">
        <w:rPr>
          <w:rFonts w:ascii="宋体" w:hAnsi="宋体" w:hint="eastAsia"/>
          <w:sz w:val="24"/>
          <w:szCs w:val="24"/>
        </w:rPr>
        <w:t>和非财务信息分析所提出基本分析内容和基本要求</w:t>
      </w:r>
      <w:r w:rsidR="009313EA" w:rsidRPr="00BB1ECD">
        <w:rPr>
          <w:rFonts w:ascii="宋体" w:hAnsi="宋体" w:hint="eastAsia"/>
          <w:szCs w:val="21"/>
        </w:rPr>
        <w:t>等内容。</w:t>
      </w:r>
    </w:p>
    <w:p w:rsidR="009556D0" w:rsidRPr="00475AB1" w:rsidRDefault="009556D0" w:rsidP="006058F0">
      <w:pPr>
        <w:adjustRightInd w:val="0"/>
        <w:snapToGrid w:val="0"/>
        <w:spacing w:line="360" w:lineRule="auto"/>
        <w:ind w:firstLineChars="200" w:firstLine="360"/>
        <w:rPr>
          <w:rFonts w:ascii="Arial" w:hAnsi="Arial" w:cs="Arial"/>
          <w:color w:val="2E3033"/>
          <w:sz w:val="18"/>
          <w:szCs w:val="18"/>
        </w:rPr>
      </w:pPr>
      <w:bookmarkStart w:id="3" w:name="OLE_LINK3"/>
      <w:bookmarkStart w:id="4" w:name="OLE_LINK4"/>
      <w:r>
        <w:rPr>
          <w:rFonts w:ascii="Times New Roman" w:hAnsi="Times New Roman" w:hint="eastAsia"/>
          <w:color w:val="2E3033"/>
          <w:sz w:val="18"/>
          <w:szCs w:val="18"/>
        </w:rPr>
        <w:t>“</w:t>
      </w:r>
      <w:r w:rsidRPr="009556D0">
        <w:rPr>
          <w:rFonts w:ascii="Times New Roman" w:hAnsi="Times New Roman"/>
          <w:color w:val="2E3033"/>
          <w:sz w:val="18"/>
          <w:szCs w:val="18"/>
        </w:rPr>
        <w:t>Valuation and Financial Statement Analysis</w:t>
      </w:r>
      <w:r>
        <w:rPr>
          <w:rFonts w:ascii="Times New Roman" w:hAnsi="Times New Roman" w:hint="eastAsia"/>
          <w:color w:val="2E3033"/>
          <w:sz w:val="18"/>
          <w:szCs w:val="18"/>
        </w:rPr>
        <w:t>”</w:t>
      </w:r>
      <w:r w:rsidRPr="00475AB1">
        <w:rPr>
          <w:rStyle w:val="tgt1"/>
          <w:rFonts w:ascii="Arial" w:hAnsi="Arial" w:cs="Arial"/>
          <w:color w:val="2E3033"/>
          <w:sz w:val="18"/>
          <w:szCs w:val="18"/>
        </w:rPr>
        <w:t xml:space="preserve"> </w:t>
      </w:r>
      <w:r w:rsidR="006058F0" w:rsidRPr="001B3CBB">
        <w:rPr>
          <w:rFonts w:ascii="Times New Roman" w:hAnsi="Times New Roman"/>
          <w:kern w:val="0"/>
          <w:szCs w:val="21"/>
        </w:rPr>
        <w:t>is a course of</w:t>
      </w:r>
      <w:r w:rsidR="006058F0" w:rsidRPr="001B3CBB">
        <w:rPr>
          <w:rStyle w:val="tgt1"/>
          <w:rFonts w:ascii="Times New Roman" w:hAnsi="Times New Roman"/>
          <w:color w:val="2E3033"/>
          <w:szCs w:val="21"/>
        </w:rPr>
        <w:t xml:space="preserve"> compulsory course</w:t>
      </w:r>
      <w:r w:rsidRPr="00475AB1">
        <w:rPr>
          <w:rStyle w:val="tgt1"/>
          <w:rFonts w:ascii="Arial" w:hAnsi="Arial" w:cs="Arial"/>
          <w:color w:val="2E3033"/>
          <w:sz w:val="18"/>
          <w:szCs w:val="18"/>
        </w:rPr>
        <w:t xml:space="preserve"> for the asset appraisal of a professional elective course, through the study of this course makes students fully understand based on the basic theory of value evaluation of financial statement analysis, the basic requirements, the basic content and basic method of exploration based on the value assessment theory and practice of financial statement </w:t>
      </w:r>
      <w:proofErr w:type="spellStart"/>
      <w:r w:rsidRPr="00475AB1">
        <w:rPr>
          <w:rStyle w:val="tgt1"/>
          <w:rFonts w:ascii="Arial" w:hAnsi="Arial" w:cs="Arial"/>
          <w:color w:val="2E3033"/>
          <w:sz w:val="18"/>
          <w:szCs w:val="18"/>
        </w:rPr>
        <w:t>analysis.Set</w:t>
      </w:r>
      <w:proofErr w:type="spellEnd"/>
      <w:r w:rsidRPr="00475AB1">
        <w:rPr>
          <w:rStyle w:val="tgt1"/>
          <w:rFonts w:ascii="Arial" w:hAnsi="Arial" w:cs="Arial"/>
          <w:color w:val="2E3033"/>
          <w:sz w:val="18"/>
          <w:szCs w:val="18"/>
        </w:rPr>
        <w:t xml:space="preserve"> up a based on the teaching of the comprehensive evaluation of financial statement analysis theory, the basic principle and basic analysis method, etc, by learning this course, students for the future of the further study and work practice in the future to lay the good foundation of professional knowledge.</w:t>
      </w:r>
    </w:p>
    <w:bookmarkEnd w:id="3"/>
    <w:bookmarkEnd w:id="4"/>
    <w:p w:rsidR="009F1164" w:rsidRPr="009F1164" w:rsidRDefault="009F1164" w:rsidP="009313EA">
      <w:pPr>
        <w:widowControl/>
        <w:adjustRightInd w:val="0"/>
        <w:snapToGrid w:val="0"/>
        <w:spacing w:line="360" w:lineRule="auto"/>
        <w:ind w:firstLineChars="200" w:firstLine="420"/>
        <w:jc w:val="left"/>
        <w:rPr>
          <w:rStyle w:val="tgt1"/>
          <w:rFonts w:ascii="Arial" w:hAnsi="Arial" w:cs="Arial"/>
          <w:sz w:val="18"/>
          <w:szCs w:val="18"/>
        </w:rPr>
      </w:pPr>
      <w:r w:rsidRPr="009F1164">
        <w:rPr>
          <w:rFonts w:ascii="Times New Roman" w:hAnsi="Times New Roman"/>
          <w:kern w:val="0"/>
          <w:szCs w:val="21"/>
        </w:rPr>
        <w:t xml:space="preserve">The course </w:t>
      </w:r>
      <w:r w:rsidRPr="009F1164">
        <w:rPr>
          <w:rStyle w:val="tgt1"/>
          <w:rFonts w:ascii="Arial" w:hAnsi="Arial" w:cs="Arial"/>
          <w:sz w:val="18"/>
          <w:szCs w:val="18"/>
        </w:rPr>
        <w:t xml:space="preserve">is to cultivate professionals engaged in the work of appraisal institution and set up a specialized </w:t>
      </w:r>
      <w:proofErr w:type="spellStart"/>
      <w:r w:rsidRPr="009F1164">
        <w:rPr>
          <w:rStyle w:val="tgt1"/>
          <w:rFonts w:ascii="Arial" w:hAnsi="Arial" w:cs="Arial"/>
          <w:sz w:val="18"/>
          <w:szCs w:val="18"/>
        </w:rPr>
        <w:t>course.Expounds</w:t>
      </w:r>
      <w:proofErr w:type="spellEnd"/>
      <w:r w:rsidRPr="009F1164">
        <w:rPr>
          <w:rStyle w:val="tgt1"/>
          <w:rFonts w:ascii="Arial" w:hAnsi="Arial" w:cs="Arial"/>
          <w:sz w:val="18"/>
          <w:szCs w:val="18"/>
        </w:rPr>
        <w:t xml:space="preserve"> the value assessment and financial statement analysis of inner link, value evaluation of adjustment report abnormal sexual analysis, report elements analysis, report forecast</w:t>
      </w:r>
    </w:p>
    <w:p w:rsidR="009F1164" w:rsidRPr="009F1164" w:rsidRDefault="009F1164" w:rsidP="009F1164">
      <w:pPr>
        <w:widowControl/>
        <w:adjustRightInd w:val="0"/>
        <w:snapToGrid w:val="0"/>
        <w:spacing w:line="360" w:lineRule="auto"/>
        <w:jc w:val="left"/>
        <w:rPr>
          <w:rFonts w:ascii="Times New Roman" w:hAnsi="Times New Roman"/>
          <w:szCs w:val="21"/>
        </w:rPr>
      </w:pPr>
      <w:proofErr w:type="gramStart"/>
      <w:r w:rsidRPr="009F1164">
        <w:rPr>
          <w:rStyle w:val="tgt1"/>
          <w:rFonts w:ascii="Arial" w:hAnsi="Arial" w:cs="Arial"/>
          <w:sz w:val="18"/>
          <w:szCs w:val="18"/>
        </w:rPr>
        <w:t>analysis</w:t>
      </w:r>
      <w:proofErr w:type="gramEnd"/>
      <w:r w:rsidRPr="009F1164">
        <w:rPr>
          <w:rStyle w:val="tgt1"/>
          <w:rFonts w:ascii="Arial" w:hAnsi="Arial" w:cs="Arial"/>
          <w:sz w:val="18"/>
          <w:szCs w:val="18"/>
        </w:rPr>
        <w:t>, financial capacity analysis and non-financial information analysis proposed the basic contents and basic requirements, etc</w:t>
      </w:r>
    </w:p>
    <w:sectPr w:rsidR="009F1164" w:rsidRPr="009F1164" w:rsidSect="001548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3EA"/>
    <w:rsid w:val="00046F88"/>
    <w:rsid w:val="00066B51"/>
    <w:rsid w:val="00475AB1"/>
    <w:rsid w:val="006058F0"/>
    <w:rsid w:val="008C3DFD"/>
    <w:rsid w:val="008F3182"/>
    <w:rsid w:val="009313EA"/>
    <w:rsid w:val="009556D0"/>
    <w:rsid w:val="009F1164"/>
    <w:rsid w:val="00B424E8"/>
    <w:rsid w:val="00C01476"/>
    <w:rsid w:val="00EC3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752848-83B6-4F75-8C7D-8035C435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3E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gt1">
    <w:name w:val="tgt1"/>
    <w:basedOn w:val="a0"/>
    <w:rsid w:val="009313EA"/>
  </w:style>
  <w:style w:type="paragraph" w:customStyle="1" w:styleId="tgt">
    <w:name w:val="tgt"/>
    <w:basedOn w:val="a"/>
    <w:rsid w:val="00475AB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5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cp:revision>
  <dcterms:created xsi:type="dcterms:W3CDTF">2017-11-22T03:08:00Z</dcterms:created>
  <dcterms:modified xsi:type="dcterms:W3CDTF">2017-11-22T03:08:00Z</dcterms:modified>
</cp:coreProperties>
</file>